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834" w:rsidRPr="008E5C64" w:rsidRDefault="00054834" w:rsidP="00EB630F">
      <w:pPr>
        <w:jc w:val="center"/>
        <w:rPr>
          <w:rFonts w:ascii="TH SarabunPSK" w:hAnsi="TH SarabunPSK" w:cs="TH SarabunPSK"/>
          <w:sz w:val="32"/>
          <w:szCs w:val="32"/>
        </w:rPr>
      </w:pPr>
      <w:r w:rsidRPr="000F3EC3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>
        <w:rPr>
          <w:rFonts w:ascii="TH SarabunPSK" w:hAnsi="TH SarabunPSK" w:cs="TH SarabunPSK"/>
          <w:b/>
          <w:bCs/>
          <w:sz w:val="40"/>
          <w:szCs w:val="40"/>
        </w:rPr>
        <w:t>5</w:t>
      </w:r>
    </w:p>
    <w:p w:rsidR="00054834" w:rsidRPr="000F3EC3" w:rsidRDefault="00054834" w:rsidP="00054834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สรุปและข้อเสนอแนะ</w:t>
      </w:r>
    </w:p>
    <w:p w:rsidR="00054834" w:rsidRPr="000F3EC3" w:rsidRDefault="00054834" w:rsidP="00054834">
      <w:pPr>
        <w:pStyle w:val="Heading5"/>
        <w:spacing w:before="240"/>
        <w:jc w:val="left"/>
        <w:rPr>
          <w:rFonts w:ascii="TH SarabunPSK" w:hAnsi="TH SarabunPSK" w:cs="TH SarabunPSK"/>
          <w:b w:val="0"/>
          <w:bCs w:val="0"/>
          <w:u w:val="none"/>
        </w:rPr>
      </w:pPr>
      <w:r w:rsidRPr="000F3EC3">
        <w:rPr>
          <w:rFonts w:ascii="TH SarabunPSK" w:hAnsi="TH SarabunPSK" w:cs="TH SarabunPSK"/>
          <w:b w:val="0"/>
          <w:bCs w:val="0"/>
          <w:u w:val="none"/>
          <w:cs/>
        </w:rPr>
        <w:tab/>
        <w:t xml:space="preserve"> การวิจัยเรื่อง </w:t>
      </w:r>
      <w:r w:rsidRPr="000F3EC3">
        <w:rPr>
          <w:rFonts w:ascii="TH SarabunPSK" w:hAnsi="TH SarabunPSK" w:cs="TH SarabunPSK"/>
          <w:b w:val="0"/>
          <w:bCs w:val="0"/>
          <w:u w:val="none"/>
        </w:rPr>
        <w:t>“</w:t>
      </w:r>
      <w:r w:rsidRPr="000F3EC3">
        <w:rPr>
          <w:rFonts w:ascii="TH SarabunPSK" w:hAnsi="TH SarabunPSK" w:cs="TH SarabunPSK"/>
          <w:b w:val="0"/>
          <w:bCs w:val="0"/>
          <w:u w:val="none"/>
          <w:cs/>
        </w:rPr>
        <w:t>สถานภาพของความรู้ด้านภัยพิบัติในประเทศไทยและความพร้อมของนักศึกษาระดับปริญญาตรีต่อการเตรียมพร้อมรองรับภัยพิบัติ</w:t>
      </w:r>
      <w:r w:rsidRPr="000F3EC3">
        <w:rPr>
          <w:rFonts w:ascii="TH SarabunPSK" w:hAnsi="TH SarabunPSK" w:cs="TH SarabunPSK"/>
          <w:u w:val="none"/>
          <w:cs/>
        </w:rPr>
        <w:t xml:space="preserve">” </w:t>
      </w:r>
      <w:r w:rsidRPr="000F3EC3">
        <w:rPr>
          <w:rFonts w:ascii="TH SarabunPSK" w:hAnsi="TH SarabunPSK" w:cs="TH SarabunPSK"/>
          <w:b w:val="0"/>
          <w:bCs w:val="0"/>
          <w:u w:val="none"/>
          <w:cs/>
        </w:rPr>
        <w:t>มี</w:t>
      </w:r>
      <w:r w:rsidR="008E5C64">
        <w:rPr>
          <w:rFonts w:ascii="TH SarabunPSK" w:hAnsi="TH SarabunPSK" w:cs="TH SarabunPSK" w:hint="cs"/>
          <w:b w:val="0"/>
          <w:bCs w:val="0"/>
          <w:u w:val="none"/>
          <w:cs/>
        </w:rPr>
        <w:t>ผลการศึกษาสรุป</w:t>
      </w:r>
      <w:r w:rsidRPr="000F3EC3">
        <w:rPr>
          <w:rFonts w:ascii="TH SarabunPSK" w:hAnsi="TH SarabunPSK" w:cs="TH SarabunPSK"/>
          <w:b w:val="0"/>
          <w:bCs w:val="0"/>
          <w:u w:val="none"/>
          <w:cs/>
        </w:rPr>
        <w:t>ดังนี้</w:t>
      </w:r>
    </w:p>
    <w:p w:rsidR="00054834" w:rsidRDefault="008E5C64" w:rsidP="008E5C64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3EC3">
        <w:rPr>
          <w:rFonts w:ascii="TH SarabunPSK" w:eastAsia="Times New Roman" w:hAnsi="TH SarabunPSK" w:cs="TH SarabunPSK"/>
          <w:sz w:val="32"/>
          <w:szCs w:val="32"/>
          <w:cs/>
        </w:rPr>
        <w:t xml:space="preserve">กลุ่มตัวอย่างนักศึกษาระดับปริญญาตรีโดยใช้ </w:t>
      </w:r>
      <w:r w:rsidR="00E426AE" w:rsidRPr="000F3EC3">
        <w:rPr>
          <w:rFonts w:ascii="TH SarabunPSK" w:hAnsi="TH SarabunPSK" w:cs="TH SarabunPSK"/>
          <w:sz w:val="32"/>
          <w:szCs w:val="32"/>
          <w:cs/>
        </w:rPr>
        <w:t>แบบสอบถามออนไลน์</w:t>
      </w:r>
      <w:r w:rsidR="00E426AE">
        <w:rPr>
          <w:rFonts w:ascii="TH SarabunPSK" w:hAnsi="TH SarabunPSK" w:cs="TH SarabunPSK" w:hint="cs"/>
          <w:sz w:val="32"/>
          <w:szCs w:val="32"/>
          <w:cs/>
        </w:rPr>
        <w:t xml:space="preserve">ผ่านระบบ </w:t>
      </w:r>
      <w:r w:rsidRPr="000F3EC3">
        <w:rPr>
          <w:rFonts w:ascii="TH SarabunPSK" w:eastAsia="Times New Roman" w:hAnsi="TH SarabunPSK" w:cs="TH SarabunPSK"/>
          <w:sz w:val="32"/>
          <w:szCs w:val="32"/>
        </w:rPr>
        <w:t>Google form</w:t>
      </w:r>
      <w:r w:rsidRPr="000F3EC3">
        <w:rPr>
          <w:rFonts w:ascii="TH SarabunPSK" w:eastAsia="Times New Roman" w:hAnsi="TH SarabunPSK" w:cs="TH SarabunPSK"/>
          <w:sz w:val="32"/>
          <w:szCs w:val="32"/>
          <w:cs/>
        </w:rPr>
        <w:t xml:space="preserve"> จำนวน 122 คน ในช่วงเดือนตุลาคม พ.ศ. 2558</w:t>
      </w:r>
      <w:r w:rsidR="00E426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E426AE" w:rsidRPr="00E426AE" w:rsidRDefault="00E426AE" w:rsidP="00E426AE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ผลการวิจัยสรุปได้ว่า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นักศึกษาร้อยละ 11.5 </w:t>
      </w:r>
      <w:r w:rsidRPr="00E426AE">
        <w:rPr>
          <w:rFonts w:ascii="TH SarabunPSK" w:eastAsia="Times New Roman" w:hAnsi="TH SarabunPSK" w:cs="TH SarabunPSK"/>
          <w:sz w:val="32"/>
          <w:szCs w:val="32"/>
          <w:cs/>
        </w:rPr>
        <w:t>เคยประสบเหตุการณ์แผ่นดินไหวมาก่อน ซึ่งนักศึกษาร้อยละ 36.2 จะไม่ทราบว่าต้องทำอย่างไรเมื่อตกอยู่ในเหตุการณ์แผ่นดินไหว และมีอาการตื่นเต้นตกใจ ซึ่งนับว่าควรมีการส่งเสริมการให้ความรู้และการเตรียมความพร้อมในการรับมือกับแผ่นดินไหวมากขึ้น  โดยจัดทำ</w:t>
      </w:r>
      <w:bookmarkStart w:id="0" w:name="_GoBack"/>
      <w:r w:rsidRPr="00E426AE">
        <w:rPr>
          <w:rFonts w:ascii="TH SarabunPSK" w:eastAsia="Times New Roman" w:hAnsi="TH SarabunPSK" w:cs="TH SarabunPSK"/>
          <w:sz w:val="32"/>
          <w:szCs w:val="32"/>
          <w:cs/>
        </w:rPr>
        <w:t xml:space="preserve">สื่อเผยแพร่ในรูปแบบต่างๆ ที่เหมาะสม </w:t>
      </w:r>
    </w:p>
    <w:p w:rsidR="00E426AE" w:rsidRDefault="00E426AE" w:rsidP="00E426AE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นักศึกษาร้อยละ 99.2 ทราบเป็นอย่างดีว่าไม่ควรใช้ลิฟท์ในระหว่างการเกิดแผ่นดินไหว รองลงมาคือ ควรหลีกเลี่ยงเสาไฟฟ้าและการอยู่ใต้ต้นไม้ ค่าเฉลี่ยของความรู้พื้นฐานในการเอาตัวรอดในระหว่างการเกิดแผ่นดินไหวอยู่ที่ร้อยละ 80.49   และในข้อที่ควรเพิ่มการให้ความรู้แก่นักศึกษาคือที่ได้ค่าเฉลี่ยน้อยกว่าร้อยละ 80 ได้แก่ คำถามที่เกี่ยวข้องกับ </w:t>
      </w:r>
      <w:r w:rsidRPr="000F3EC3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ไม่ควรใช้เทียน หรือจุดไฟในระหว่างการเกิดแผ่นดินไหว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F3EC3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หากอยู่ใกล้ชายหาดควรอยู่บริเวณ</w:t>
      </w:r>
      <w:r w:rsidRPr="00A50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ชายฝั่ง</w:t>
      </w:r>
      <w:r w:rsidRPr="00A50C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50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ควรหาทางออกจากอาคารทันทีที่เกิดแผ่นดินไหว</w:t>
      </w:r>
      <w:r w:rsidRPr="00A50C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0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ควรอยู่ใกล้ประตู ระเบียง และหน้าต่าง</w:t>
      </w:r>
      <w:r w:rsidRPr="00A50C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0C3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ไม่ควรอุ้มสัตว์เลี้ยงในระหว่างการเกิดแผ่นดินไหว</w:t>
      </w:r>
      <w:r w:rsidRPr="00A50C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Pr="00A50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หากอยู่ในบ้านชั้น </w:t>
      </w:r>
      <w:r w:rsidRPr="00A50C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A50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ไม่ควรวิ่งลงมาที่ชั้น </w:t>
      </w:r>
      <w:r w:rsidRPr="00A50C34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</w:p>
    <w:p w:rsidR="00E426AE" w:rsidRDefault="00E426AE" w:rsidP="00E426A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นักศึกษาได้รับรู้สื่อจากโทรทัศน์มากที่สุด</w:t>
      </w:r>
      <w:r w:rsidR="00031E8F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66.4 รองลงมาคือ </w:t>
      </w:r>
      <w:r w:rsidR="00031E8F">
        <w:rPr>
          <w:rFonts w:ascii="TH SarabunPSK" w:hAnsi="TH SarabunPSK" w:cs="TH SarabunPSK"/>
          <w:sz w:val="32"/>
          <w:szCs w:val="32"/>
        </w:rPr>
        <w:t xml:space="preserve">Facebook </w:t>
      </w:r>
      <w:r>
        <w:rPr>
          <w:rFonts w:ascii="TH SarabunPSK" w:hAnsi="TH SarabunPSK" w:cs="TH SarabunPSK" w:hint="cs"/>
          <w:sz w:val="32"/>
          <w:szCs w:val="32"/>
          <w:cs/>
        </w:rPr>
        <w:t>เว็บไซต์ วารสาร/หนังสือพิมพ์ และจากกิจกรรมในห้องเรียน คิดเป็นร้อยละ 42.6   25.4  23.8 และ 23.0 ตามลำดับ</w:t>
      </w:r>
    </w:p>
    <w:p w:rsidR="00E426AE" w:rsidRPr="00A67DC3" w:rsidRDefault="00E426AE" w:rsidP="00E426AE">
      <w:pPr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นักศึกษาต้องการให้มีการผลิตสื่อให้ความรู้ด้านภัยพิบัติผ่านทางโทรทัศน์ คิดเป็นร้อยละ 47.6 รองลงมาคือ </w:t>
      </w:r>
      <w:r>
        <w:rPr>
          <w:rFonts w:ascii="TH SarabunPSK" w:hAnsi="TH SarabunPSK" w:cs="TH SarabunPSK"/>
          <w:sz w:val="32"/>
          <w:szCs w:val="32"/>
        </w:rPr>
        <w:t xml:space="preserve">Facebook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และจากกิจกรรมในชั้นเรียน คิดเป็นร้อยละ 59.8  วารสาร/หนังสือพิมพ์ </w:t>
      </w:r>
      <w:r>
        <w:rPr>
          <w:rFonts w:ascii="TH SarabunPSK" w:hAnsi="TH SarabunPSK" w:cs="TH SarabunPSK"/>
          <w:sz w:val="32"/>
          <w:szCs w:val="32"/>
        </w:rPr>
        <w:t xml:space="preserve">YouTube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และเว็บไซต์ คิดเป็นร้อยละ 51.6  49.2 และ 45.1 ตามลำดับ ซึ่งทั้งนี้ สามารถประยุกต์สื่ออื่นๆ ที่เหมาะสมในการนำเสนอร่วมกันเช่น ผ่านทาง </w:t>
      </w:r>
      <w:r>
        <w:rPr>
          <w:rFonts w:ascii="TH SarabunPSK" w:hAnsi="TH SarabunPSK" w:cs="TH SarabunPSK"/>
          <w:sz w:val="32"/>
          <w:szCs w:val="32"/>
        </w:rPr>
        <w:t xml:space="preserve">infographics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application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ที่สามารถเข้าถึงได้ง่ายผ่านโทรศัพท์มือถือ</w:t>
      </w:r>
    </w:p>
    <w:p w:rsidR="00054834" w:rsidRDefault="00520D1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:rsidR="00D91219" w:rsidRPr="00D91219" w:rsidRDefault="00D91219" w:rsidP="00D91219">
      <w:pPr>
        <w:pStyle w:val="ListParagraph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D91219">
        <w:rPr>
          <w:rFonts w:ascii="TH SarabunPSK" w:hAnsi="TH SarabunPSK" w:cs="TH SarabunPSK" w:hint="cs"/>
          <w:sz w:val="32"/>
          <w:szCs w:val="32"/>
          <w:cs/>
        </w:rPr>
        <w:t>ควรมีการเผยแพร่ความรู้เกี่ยวกับการปฏิบัติในช่วงการเกิดแผ่นดินไหว</w:t>
      </w:r>
      <w:r>
        <w:rPr>
          <w:rFonts w:ascii="TH SarabunPSK" w:hAnsi="TH SarabunPSK" w:cs="TH SarabunPSK" w:hint="cs"/>
          <w:sz w:val="32"/>
          <w:szCs w:val="32"/>
          <w:cs/>
        </w:rPr>
        <w:t>และหลังการเกิดแผ่นดินไหว</w:t>
      </w:r>
      <w:r w:rsidRPr="00D91219">
        <w:rPr>
          <w:rFonts w:ascii="TH SarabunPSK" w:hAnsi="TH SarabunPSK" w:cs="TH SarabunPSK" w:hint="cs"/>
          <w:sz w:val="32"/>
          <w:szCs w:val="32"/>
          <w:cs/>
        </w:rPr>
        <w:t>ให้ประชาชนได้ทราบ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ตลอดจนสิ่งจำเป็นที่ควรเตรียมไว้เผื่อเกิดภาวะฉุกเฉิน</w:t>
      </w:r>
    </w:p>
    <w:p w:rsidR="00520D19" w:rsidRDefault="00D91219" w:rsidP="00D91219">
      <w:pPr>
        <w:pStyle w:val="ListParagraph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D912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ควรจัดทำ</w:t>
      </w:r>
      <w:r w:rsidRPr="00D91219">
        <w:rPr>
          <w:rFonts w:ascii="TH SarabunPSK" w:hAnsi="TH SarabunPSK" w:cs="TH SarabunPSK" w:hint="cs"/>
          <w:sz w:val="32"/>
          <w:szCs w:val="32"/>
          <w:cs/>
        </w:rPr>
        <w:t xml:space="preserve">สื่อที่เหมาะสมสำหรับผู้ด้อยโอกาสหรือผู้พิการทางสายตา </w:t>
      </w:r>
    </w:p>
    <w:p w:rsidR="00D91219" w:rsidRDefault="00D91219" w:rsidP="00D91219">
      <w:pPr>
        <w:pStyle w:val="ListParagraph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ควรเพิ่มการให้ความรู้โดยเฉพาะในประเด็นที่นักศึกษายังเข้าใจไม่ถูกต้อง เช่น การอพยพลงมาสู่ชั้นล่างเมื่อเกิดแผ่นดินไหว หรือการอุ้มสัตว์เลี้ยงไว้ซึ่งอาจเกิดอันตรายได้มากขึ้น</w:t>
      </w:r>
    </w:p>
    <w:p w:rsidR="0094145E" w:rsidRPr="00FE14DE" w:rsidRDefault="00D91219" w:rsidP="00FE14DE">
      <w:pPr>
        <w:pStyle w:val="ListParagraph"/>
        <w:numPr>
          <w:ilvl w:val="0"/>
          <w:numId w:val="10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หากเป็นไปได้ควรมีการประยุกต์สื่อผสมในรูปแบบต่างๆ เพื่อเพิ่มความน่าสนใจในการนำเสนอข้อมูลด้านภัยพิบัติให้ประชาชนได้ทราบ</w:t>
      </w:r>
      <w:bookmarkEnd w:id="0"/>
      <w:r w:rsidR="0094145E" w:rsidRPr="00FE14DE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F0668C" w:rsidRPr="0093160A" w:rsidRDefault="0093160A" w:rsidP="00F0668C">
      <w:pPr>
        <w:rPr>
          <w:rFonts w:ascii="TH SarabunPSK" w:hAnsi="TH SarabunPSK" w:cs="TH SarabunPSK"/>
          <w:b/>
          <w:bCs/>
          <w:sz w:val="32"/>
          <w:szCs w:val="32"/>
        </w:rPr>
      </w:pPr>
      <w:r w:rsidRPr="0093160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เอกสารอ้างอิง</w:t>
      </w:r>
    </w:p>
    <w:p w:rsidR="0093160A" w:rsidRPr="0093160A" w:rsidRDefault="0093160A" w:rsidP="0093160A">
      <w:pPr>
        <w:tabs>
          <w:tab w:val="left" w:pos="142"/>
        </w:tabs>
        <w:spacing w:line="240" w:lineRule="auto"/>
        <w:ind w:left="426" w:hanging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160A">
        <w:rPr>
          <w:rFonts w:ascii="TH SarabunPSK" w:hAnsi="TH SarabunPSK" w:cs="TH SarabunPSK"/>
          <w:color w:val="000000" w:themeColor="text1"/>
          <w:sz w:val="32"/>
          <w:szCs w:val="32"/>
        </w:rPr>
        <w:t xml:space="preserve">Cheng, W. J., Mitomo, H., Otsuka, T., &amp; Jeon, Y. S. (2016). Cultivation effects of mass and social media on perceptions and behavioural intentions in post-disaster recovery – The case of the 2011 Great East Japan Earthquake. </w:t>
      </w:r>
      <w:r w:rsidRPr="0093160A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Telematics and informatics</w:t>
      </w:r>
      <w:r w:rsidRPr="0093160A">
        <w:rPr>
          <w:rFonts w:ascii="TH SarabunPSK" w:hAnsi="TH SarabunPSK" w:cs="TH SarabunPSK"/>
          <w:color w:val="000000" w:themeColor="text1"/>
          <w:sz w:val="32"/>
          <w:szCs w:val="32"/>
        </w:rPr>
        <w:t>, 33, 753 – 772.</w:t>
      </w:r>
    </w:p>
    <w:p w:rsidR="0093160A" w:rsidRPr="00D27C2F" w:rsidRDefault="0093160A" w:rsidP="0093160A">
      <w:pPr>
        <w:pStyle w:val="NormalWeb"/>
        <w:ind w:left="426" w:hanging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160A">
        <w:rPr>
          <w:rFonts w:ascii="TH SarabunPSK" w:hAnsi="TH SarabunPSK" w:cs="TH SarabunPSK"/>
          <w:color w:val="000000" w:themeColor="text1"/>
          <w:sz w:val="32"/>
          <w:szCs w:val="32"/>
        </w:rPr>
        <w:t xml:space="preserve">Center for Excellence in Disaster Management &amp; Humanitarian Assistance. (2015). </w:t>
      </w:r>
      <w:r w:rsidRPr="0093160A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Thailand Disaster Management Reference Handbook 2015</w:t>
      </w:r>
      <w:r w:rsidRPr="0093160A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Retrieved from: </w:t>
      </w:r>
      <w:hyperlink r:id="rId7" w:history="1">
        <w:r w:rsidRPr="00D27C2F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http://www.cfe-dmha.org</w:t>
        </w:r>
      </w:hyperlink>
    </w:p>
    <w:p w:rsidR="0093160A" w:rsidRPr="00D27C2F" w:rsidRDefault="0093160A" w:rsidP="0093160A">
      <w:pPr>
        <w:pStyle w:val="NormalWeb"/>
        <w:ind w:left="426" w:hanging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7C2F">
        <w:rPr>
          <w:rFonts w:ascii="TH SarabunPSK" w:hAnsi="TH SarabunPSK" w:cs="TH SarabunPSK"/>
          <w:color w:val="000000" w:themeColor="text1"/>
          <w:sz w:val="32"/>
          <w:szCs w:val="32"/>
        </w:rPr>
        <w:t xml:space="preserve">Fakhruddin, S.H.M. &amp; Chivakidakarn, Y. (2014). A case study for early warning and disaster management in Thailand. </w:t>
      </w:r>
      <w:r w:rsidRPr="00D27C2F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International Journal of Disaster Risk Reduction</w:t>
      </w:r>
      <w:r w:rsidRPr="00D27C2F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9. 159 – 180Inter-American Development Bank. (2011). </w:t>
      </w:r>
      <w:r w:rsidRPr="00D27C2F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Indicators for Disaster Risk and Risk Management Programme for Latin-America and The Caribbean Belize</w:t>
      </w:r>
      <w:r w:rsidRPr="00D27C2F">
        <w:rPr>
          <w:rFonts w:ascii="TH SarabunPSK" w:hAnsi="TH SarabunPSK" w:cs="TH SarabunPSK"/>
          <w:color w:val="000000" w:themeColor="text1"/>
          <w:sz w:val="32"/>
          <w:szCs w:val="32"/>
        </w:rPr>
        <w:t>. Technical note, No. IDB-TN-276. Retrieved from https://www.imf.org/external/np/seminars/eng/2013/caribbean/pdf/belize.pdf.</w:t>
      </w:r>
    </w:p>
    <w:p w:rsidR="0093160A" w:rsidRPr="00D27C2F" w:rsidRDefault="0093160A" w:rsidP="0093160A">
      <w:pPr>
        <w:pStyle w:val="NormalWeb"/>
        <w:ind w:left="426" w:hanging="426"/>
        <w:rPr>
          <w:rFonts w:ascii="TH SarabunPSK" w:hAnsi="TH SarabunPSK" w:cs="TH SarabunPSK"/>
          <w:color w:val="000000" w:themeColor="text1"/>
          <w:sz w:val="32"/>
          <w:szCs w:val="32"/>
          <w:highlight w:val="cyan"/>
        </w:rPr>
      </w:pPr>
      <w:r w:rsidRPr="00D27C2F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Inter-Agency Standing Committee Task Team for Preparedness and Resilience and the European Commission INFORM. (2015).  </w:t>
      </w:r>
      <w:r w:rsidRPr="00D27C2F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Index for Risk Management 2015</w:t>
      </w:r>
      <w:r w:rsidRPr="00D27C2F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 Retrieved from: </w:t>
      </w:r>
      <w:hyperlink r:id="rId8" w:tgtFrame="_blank" w:history="1">
        <w:r w:rsidRPr="00D27C2F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http://www.inform-index.org</w:t>
        </w:r>
      </w:hyperlink>
    </w:p>
    <w:p w:rsidR="0093160A" w:rsidRPr="0093160A" w:rsidRDefault="0093160A" w:rsidP="0093160A">
      <w:pPr>
        <w:pStyle w:val="NormalWeb"/>
        <w:ind w:left="426" w:hanging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7C2F">
        <w:rPr>
          <w:rFonts w:ascii="TH SarabunPSK" w:hAnsi="TH SarabunPSK" w:cs="TH SarabunPSK"/>
          <w:color w:val="000000" w:themeColor="text1"/>
          <w:sz w:val="32"/>
          <w:szCs w:val="32"/>
        </w:rPr>
        <w:t xml:space="preserve">Mucke, P. (2012). </w:t>
      </w:r>
      <w:r w:rsidRPr="00D27C2F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Disaster risk, environmental degradation and global sustainability policy </w:t>
      </w:r>
      <w:r w:rsidRPr="00D27C2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in </w:t>
      </w:r>
      <w:r w:rsidRPr="00D27C2F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World risk report </w:t>
      </w:r>
      <w:r w:rsidRPr="0093160A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2012</w:t>
      </w:r>
      <w:r w:rsidRPr="0093160A">
        <w:rPr>
          <w:rFonts w:ascii="TH SarabunPSK" w:hAnsi="TH SarabunPSK" w:cs="TH SarabunPSK"/>
          <w:color w:val="000000" w:themeColor="text1"/>
          <w:sz w:val="32"/>
          <w:szCs w:val="32"/>
        </w:rPr>
        <w:t>.http://www.worldriskreport.org/fileadmin/WRB/PDFs_und_Tabellen/WRR_2012_en_online_01.pdf</w:t>
      </w:r>
    </w:p>
    <w:p w:rsidR="0093160A" w:rsidRPr="0093160A" w:rsidRDefault="0093160A" w:rsidP="0093160A">
      <w:pPr>
        <w:pStyle w:val="NormalWeb"/>
        <w:ind w:left="426" w:hanging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160A">
        <w:rPr>
          <w:rFonts w:ascii="TH SarabunPSK" w:hAnsi="TH SarabunPSK" w:cs="TH SarabunPSK"/>
          <w:color w:val="000000" w:themeColor="text1"/>
          <w:sz w:val="32"/>
          <w:szCs w:val="32"/>
        </w:rPr>
        <w:t xml:space="preserve">Napoli, P. M. (2015). Social media and the public interest: Governance of news platforms in the realm of individual and algorithmic gatekeepers. </w:t>
      </w:r>
      <w:r w:rsidRPr="0093160A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Telecommunications Policy</w:t>
      </w:r>
      <w:r w:rsidRPr="0093160A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39 (9), 751 – 760. </w:t>
      </w:r>
    </w:p>
    <w:p w:rsidR="0093160A" w:rsidRPr="0093160A" w:rsidRDefault="0093160A" w:rsidP="0093160A">
      <w:pPr>
        <w:pStyle w:val="NormalWeb"/>
        <w:ind w:left="426" w:hanging="426"/>
        <w:rPr>
          <w:rFonts w:ascii="TH SarabunPSK" w:hAnsi="TH SarabunPSK" w:cs="TH SarabunPSK"/>
          <w:color w:val="000000" w:themeColor="text1"/>
          <w:sz w:val="32"/>
          <w:szCs w:val="32"/>
          <w:highlight w:val="cyan"/>
        </w:rPr>
      </w:pPr>
      <w:r w:rsidRPr="0093160A">
        <w:rPr>
          <w:rFonts w:ascii="TH SarabunPSK" w:hAnsi="TH SarabunPSK" w:cs="TH SarabunPSK"/>
          <w:sz w:val="32"/>
          <w:szCs w:val="32"/>
          <w:lang w:eastAsia="en-IN"/>
        </w:rPr>
        <w:t xml:space="preserve">PreventionWeb. 2015. </w:t>
      </w:r>
      <w:r w:rsidRPr="0093160A">
        <w:rPr>
          <w:rFonts w:ascii="TH SarabunPSK" w:hAnsi="TH SarabunPSK" w:cs="TH SarabunPSK"/>
          <w:i/>
          <w:iCs/>
          <w:sz w:val="32"/>
          <w:szCs w:val="32"/>
          <w:lang w:eastAsia="en-IN"/>
        </w:rPr>
        <w:t>Thailand Disaster and Risk Profile 2015</w:t>
      </w:r>
      <w:r w:rsidRPr="0093160A">
        <w:rPr>
          <w:rFonts w:ascii="TH SarabunPSK" w:hAnsi="TH SarabunPSK" w:cs="TH SarabunPSK"/>
          <w:sz w:val="32"/>
          <w:szCs w:val="32"/>
          <w:lang w:eastAsia="en-IN"/>
        </w:rPr>
        <w:t>. Retrieved from http://www.preventionweb.net/countries/tha/data/</w:t>
      </w:r>
    </w:p>
    <w:p w:rsidR="0093160A" w:rsidRPr="00D27C2F" w:rsidRDefault="0093160A" w:rsidP="0093160A">
      <w:pPr>
        <w:pStyle w:val="NormalWeb"/>
        <w:ind w:left="426" w:hanging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7C2F">
        <w:rPr>
          <w:rFonts w:ascii="TH SarabunPSK" w:hAnsi="TH SarabunPSK" w:cs="TH SarabunPSK"/>
          <w:color w:val="000000" w:themeColor="text1"/>
          <w:sz w:val="32"/>
          <w:szCs w:val="32"/>
        </w:rPr>
        <w:t xml:space="preserve">UNISDR. (2014). </w:t>
      </w:r>
      <w:r w:rsidRPr="00D27C2F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Post-2015 Framework for Disaster Risk Reduction: a proposal for monitoring progress</w:t>
      </w:r>
      <w:r w:rsidRPr="00D27C2F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Retrieved from: </w:t>
      </w:r>
      <w:hyperlink r:id="rId9" w:history="1">
        <w:r w:rsidRPr="00D27C2F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http://www.wcdrr.org/documents/wcdrr/prepcom1/Indicator%20system%20for%20Post%202015%20Framework%20June%202015_v2.pdf</w:t>
        </w:r>
      </w:hyperlink>
      <w:r w:rsidRPr="00D27C2F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:rsidR="0093160A" w:rsidRPr="0093160A" w:rsidRDefault="0093160A" w:rsidP="0093160A">
      <w:pPr>
        <w:pStyle w:val="Els-body-text"/>
        <w:jc w:val="left"/>
        <w:rPr>
          <w:rFonts w:ascii="TH SarabunPSK" w:hAnsi="TH SarabunPSK" w:cs="TH SarabunPSK"/>
          <w:sz w:val="32"/>
          <w:szCs w:val="32"/>
        </w:rPr>
      </w:pPr>
    </w:p>
    <w:p w:rsidR="0093160A" w:rsidRPr="0093160A" w:rsidRDefault="0093160A" w:rsidP="00F0668C">
      <w:pPr>
        <w:rPr>
          <w:rFonts w:ascii="TH SarabunPSK" w:hAnsi="TH SarabunPSK" w:cs="TH SarabunPSK"/>
          <w:sz w:val="32"/>
          <w:szCs w:val="32"/>
          <w:cs/>
          <w:lang w:val="en-GB"/>
        </w:rPr>
      </w:pPr>
    </w:p>
    <w:p w:rsidR="00A93636" w:rsidRPr="000F3EC3" w:rsidRDefault="00A93636" w:rsidP="00B75E55">
      <w:pPr>
        <w:ind w:left="993" w:firstLine="447"/>
        <w:jc w:val="both"/>
        <w:rPr>
          <w:rFonts w:ascii="TH SarabunPSK" w:hAnsi="TH SarabunPSK" w:cs="TH SarabunPSK"/>
          <w:sz w:val="32"/>
          <w:szCs w:val="32"/>
          <w:cs/>
        </w:rPr>
      </w:pPr>
    </w:p>
    <w:sectPr w:rsidR="00A93636" w:rsidRPr="000F3EC3" w:rsidSect="00EB630F">
      <w:footerReference w:type="default" r:id="rId10"/>
      <w:pgSz w:w="11906" w:h="16838"/>
      <w:pgMar w:top="1440" w:right="1440" w:bottom="1440" w:left="1440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743" w:rsidRDefault="00780743" w:rsidP="00982AD1">
      <w:pPr>
        <w:spacing w:after="0" w:line="240" w:lineRule="auto"/>
      </w:pPr>
      <w:r>
        <w:separator/>
      </w:r>
    </w:p>
  </w:endnote>
  <w:endnote w:type="continuationSeparator" w:id="0">
    <w:p w:rsidR="00780743" w:rsidRDefault="00780743" w:rsidP="00982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2247"/>
      <w:docPartObj>
        <w:docPartGallery w:val="Page Numbers (Bottom of Page)"/>
        <w:docPartUnique/>
      </w:docPartObj>
    </w:sdtPr>
    <w:sdtEndPr/>
    <w:sdtContent>
      <w:p w:rsidR="008E5C64" w:rsidRDefault="008E5C64">
        <w:pPr>
          <w:pStyle w:val="Footer"/>
          <w:jc w:val="right"/>
        </w:pPr>
        <w:r w:rsidRPr="00982AD1">
          <w:rPr>
            <w:rFonts w:ascii="TH SarabunPSK" w:hAnsi="TH SarabunPSK" w:cs="TH SarabunPSK"/>
            <w:sz w:val="24"/>
            <w:szCs w:val="32"/>
          </w:rPr>
          <w:fldChar w:fldCharType="begin"/>
        </w:r>
        <w:r w:rsidRPr="00982AD1">
          <w:rPr>
            <w:rFonts w:ascii="TH SarabunPSK" w:hAnsi="TH SarabunPSK" w:cs="TH SarabunPSK"/>
            <w:sz w:val="24"/>
            <w:szCs w:val="32"/>
          </w:rPr>
          <w:instrText xml:space="preserve"> PAGE   \* MERGEFORMAT </w:instrText>
        </w:r>
        <w:r w:rsidRPr="00982AD1">
          <w:rPr>
            <w:rFonts w:ascii="TH SarabunPSK" w:hAnsi="TH SarabunPSK" w:cs="TH SarabunPSK"/>
            <w:sz w:val="24"/>
            <w:szCs w:val="32"/>
          </w:rPr>
          <w:fldChar w:fldCharType="separate"/>
        </w:r>
        <w:r w:rsidR="00FE14DE" w:rsidRPr="00FE14DE">
          <w:rPr>
            <w:rFonts w:ascii="TH SarabunPSK" w:hAnsi="TH SarabunPSK" w:cs="TH SarabunPSK"/>
            <w:noProof/>
            <w:sz w:val="24"/>
            <w:szCs w:val="24"/>
            <w:lang w:val="th-TH"/>
          </w:rPr>
          <w:t>17</w:t>
        </w:r>
        <w:r w:rsidRPr="00982AD1">
          <w:rPr>
            <w:rFonts w:ascii="TH SarabunPSK" w:hAnsi="TH SarabunPSK" w:cs="TH SarabunPSK"/>
            <w:sz w:val="24"/>
            <w:szCs w:val="32"/>
          </w:rPr>
          <w:fldChar w:fldCharType="end"/>
        </w:r>
      </w:p>
    </w:sdtContent>
  </w:sdt>
  <w:p w:rsidR="008E5C64" w:rsidRDefault="008E5C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743" w:rsidRDefault="00780743" w:rsidP="00982AD1">
      <w:pPr>
        <w:spacing w:after="0" w:line="240" w:lineRule="auto"/>
      </w:pPr>
      <w:r>
        <w:separator/>
      </w:r>
    </w:p>
  </w:footnote>
  <w:footnote w:type="continuationSeparator" w:id="0">
    <w:p w:rsidR="00780743" w:rsidRDefault="00780743" w:rsidP="00982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65CBA"/>
    <w:multiLevelType w:val="hybridMultilevel"/>
    <w:tmpl w:val="6DC23AEA"/>
    <w:lvl w:ilvl="0" w:tplc="BE380EEA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D5348B6"/>
    <w:multiLevelType w:val="hybridMultilevel"/>
    <w:tmpl w:val="8824637C"/>
    <w:lvl w:ilvl="0" w:tplc="E3AA9B0C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7996B49"/>
    <w:multiLevelType w:val="hybridMultilevel"/>
    <w:tmpl w:val="45984592"/>
    <w:lvl w:ilvl="0" w:tplc="92AC41E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22D15825"/>
    <w:multiLevelType w:val="hybridMultilevel"/>
    <w:tmpl w:val="A086B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7646C"/>
    <w:multiLevelType w:val="hybridMultilevel"/>
    <w:tmpl w:val="E09C50D6"/>
    <w:lvl w:ilvl="0" w:tplc="AEDE149C">
      <w:start w:val="1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19D7ED5"/>
    <w:multiLevelType w:val="hybridMultilevel"/>
    <w:tmpl w:val="F52C5586"/>
    <w:lvl w:ilvl="0" w:tplc="38964AB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6396512"/>
    <w:multiLevelType w:val="multilevel"/>
    <w:tmpl w:val="2FAAF9D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abstractNum w:abstractNumId="7">
    <w:nsid w:val="599453F2"/>
    <w:multiLevelType w:val="hybridMultilevel"/>
    <w:tmpl w:val="6DC23AEA"/>
    <w:lvl w:ilvl="0" w:tplc="BE380EEA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678515A0"/>
    <w:multiLevelType w:val="hybridMultilevel"/>
    <w:tmpl w:val="29F4D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844BC"/>
    <w:multiLevelType w:val="hybridMultilevel"/>
    <w:tmpl w:val="D1040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55"/>
    <w:rsid w:val="00031E8F"/>
    <w:rsid w:val="00054834"/>
    <w:rsid w:val="000F3EC3"/>
    <w:rsid w:val="001104C8"/>
    <w:rsid w:val="00136579"/>
    <w:rsid w:val="00156677"/>
    <w:rsid w:val="002022C5"/>
    <w:rsid w:val="003A301A"/>
    <w:rsid w:val="004702AA"/>
    <w:rsid w:val="00520D19"/>
    <w:rsid w:val="0054433F"/>
    <w:rsid w:val="0059406D"/>
    <w:rsid w:val="00780743"/>
    <w:rsid w:val="007A2554"/>
    <w:rsid w:val="00802DA7"/>
    <w:rsid w:val="008A6DB4"/>
    <w:rsid w:val="008E5C64"/>
    <w:rsid w:val="0093160A"/>
    <w:rsid w:val="0094145E"/>
    <w:rsid w:val="00982AD1"/>
    <w:rsid w:val="00A22C18"/>
    <w:rsid w:val="00A35DEB"/>
    <w:rsid w:val="00A50C34"/>
    <w:rsid w:val="00A67DC3"/>
    <w:rsid w:val="00A82257"/>
    <w:rsid w:val="00A93636"/>
    <w:rsid w:val="00AB07B5"/>
    <w:rsid w:val="00AE5004"/>
    <w:rsid w:val="00B379D8"/>
    <w:rsid w:val="00B75E55"/>
    <w:rsid w:val="00C241F3"/>
    <w:rsid w:val="00C44C00"/>
    <w:rsid w:val="00C66E0D"/>
    <w:rsid w:val="00CB4640"/>
    <w:rsid w:val="00D27C2F"/>
    <w:rsid w:val="00D91219"/>
    <w:rsid w:val="00DE738F"/>
    <w:rsid w:val="00E426AE"/>
    <w:rsid w:val="00E6087A"/>
    <w:rsid w:val="00EB630F"/>
    <w:rsid w:val="00EF0AA1"/>
    <w:rsid w:val="00F0668C"/>
    <w:rsid w:val="00F55E7B"/>
    <w:rsid w:val="00FE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84EA5B-17AF-4E1F-9E99-BCC2DC0E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677"/>
  </w:style>
  <w:style w:type="paragraph" w:styleId="Heading5">
    <w:name w:val="heading 5"/>
    <w:basedOn w:val="Normal"/>
    <w:next w:val="Normal"/>
    <w:link w:val="Heading5Char"/>
    <w:qFormat/>
    <w:rsid w:val="00F0668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E55"/>
    <w:pPr>
      <w:spacing w:after="0" w:line="240" w:lineRule="auto"/>
      <w:ind w:left="720"/>
    </w:pPr>
    <w:rPr>
      <w:rFonts w:ascii="Cordia New" w:eastAsia="Cordia New" w:hAnsi="Cordia New" w:cs="Cordia New"/>
      <w:sz w:val="28"/>
      <w:szCs w:val="35"/>
    </w:rPr>
  </w:style>
  <w:style w:type="paragraph" w:customStyle="1" w:styleId="Default">
    <w:name w:val="Default"/>
    <w:rsid w:val="00A936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82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AD1"/>
  </w:style>
  <w:style w:type="paragraph" w:styleId="Footer">
    <w:name w:val="footer"/>
    <w:basedOn w:val="Normal"/>
    <w:link w:val="FooterChar"/>
    <w:uiPriority w:val="99"/>
    <w:unhideWhenUsed/>
    <w:rsid w:val="00982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AD1"/>
  </w:style>
  <w:style w:type="paragraph" w:styleId="BalloonText">
    <w:name w:val="Balloon Text"/>
    <w:basedOn w:val="Normal"/>
    <w:link w:val="BalloonTextChar"/>
    <w:uiPriority w:val="99"/>
    <w:semiHidden/>
    <w:unhideWhenUsed/>
    <w:rsid w:val="00F0668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68C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F0668C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rsid w:val="00F0668C"/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Els-body-text">
    <w:name w:val="Els-body-text"/>
    <w:rsid w:val="00F0668C"/>
    <w:pPr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  <w:lang w:bidi="ar-SA"/>
    </w:rPr>
  </w:style>
  <w:style w:type="table" w:styleId="TableGrid">
    <w:name w:val="Table Grid"/>
    <w:basedOn w:val="TableNormal"/>
    <w:uiPriority w:val="59"/>
    <w:rsid w:val="00A82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31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character" w:customStyle="1" w:styleId="watch-title">
    <w:name w:val="watch-title"/>
    <w:basedOn w:val="DefaultParagraphFont"/>
    <w:rsid w:val="00A67DC3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-index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fe-dmh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wcdrr.org/documents/wcdrr/prepcom1/Indicator%20system%20for%20Post%202015%20Framework%20June%202015_v2.pd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Utarasakul Pu</cp:lastModifiedBy>
  <cp:revision>3</cp:revision>
  <dcterms:created xsi:type="dcterms:W3CDTF">2018-09-17T01:53:00Z</dcterms:created>
  <dcterms:modified xsi:type="dcterms:W3CDTF">2018-09-17T01:53:00Z</dcterms:modified>
</cp:coreProperties>
</file>